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2016/201 vom 9. September 1996</w:t>
      </w:r>
    </w:p>
    <w:p>
      <w:r>
        <w:t>Sg Versicherungsgericht, 1996-09-09, DE</w:t>
      </w:r>
    </w:p>
    <w:p>
      <w:r>
        <w:rPr>
          <w:b/>
        </w:rPr>
        <w:t xml:space="preserve">Quelle: </w:t>
      </w:r>
      <w:r>
        <w:t>https://mcp.opencaselaw.ch/entscheid/sg_publikationen_IV 2016_201</w:t>
      </w:r>
    </w:p>
    <w:p>
      <w:r>
        <w:t>FR: SG_VERSICHERUNGSGERICHT IV 2016/201 du 9 septembre 1996</w:t>
      </w:r>
    </w:p>
    <w:p>
      <w:r>
        <w:t>IT: SG_VERSICHERUNGSGERICHT IV 2016/201 del 9 settembre 1996</w:t>
      </w:r>
    </w:p>
    <w:p>
      <w:pPr>
        <w:pStyle w:val="Heading2"/>
      </w:pPr>
      <w:r>
        <w:t>Regeste</w:t>
      </w:r>
    </w:p>
    <w:p>
      <w:r>
        <w:t>Art. 28 IVG; Art. 16 ATSG. Eine andere Einschätzung der Arbeitsfähigkeit der behandelnden Ärzte beeinträchtigt den Beweiswert eines schlüssigen versicherungsexternen Gutachtens grundsätzlich nicht. Die Restarbeitsfähigkeit ist auch dann in der Regel noch verwertbar, wenn der Beschwerdeführer vor Eintritt des Gesundheitsschadens hauptsächlich schwere körperliche Tätigkeiten ausübte und in adaptierter Tätigkeit nur noch leichte Arbeit ausführen kann. Wenn keine konkreten Hinweise für einen beruflichen Aufstieg vorliegen, kann ein solcher bei der Bestimmung des Valideneinkommens nicht berücksichtigt werden. Ein enges Spektrum an Verweistätigkeiten und ökonomische Risiken für einen potentiellen Arbeitgeber können einen Tabellenlohnabzug rechtfertigen (Entscheid des Versicherungsgerichts des Kantons St. Gallen vom 4. Dezember 2018, IV 2016/201).</w:t>
      </w:r>
    </w:p>
    <w:p>
      <w:pPr>
        <w:pStyle w:val="Heading2"/>
      </w:pPr>
      <w:r>
        <w:t>Erwägungen</w:t>
      </w:r>
    </w:p>
    <w:p>
      <w:r>
        <w:rPr>
          <w:b/>
        </w:rPr>
        <w:t>E. 1</w:t>
      </w:r>
    </w:p>
    <w:p>
      <w:r>
        <w:t>1.1  Anspruch auf eine Rente haben gemäss Art. 28 Abs. 1 des Bundesgesetzes über die Invalidenversicherung (IVG; SR 831.20)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1.2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Der Rentenanspruch entsteht frühestens nach Ablauf von sechs Monaten nach Geltendmachung (vgl. Art. 29 Abs. 1 IVG).</w:t>
      </w:r>
    </w:p>
    <w:p>
      <w:r>
        <w:rPr>
          <w:b/>
        </w:rPr>
        <w:t>E. 2</w:t>
      </w:r>
    </w:p>
    <w:p>
      <w:r>
        <w:t>2.1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2.2  Das bidisziplinäre Gutachten der Dres. E.___ und F.___ vom 19. April 2015 berücksichtigt die geklagten Beschwerden und die aktenkundigen Befunde. Objektive Gesichtspunkte, welche an der gutachterlichen Beurteilung Zweifel erwecken, werden nicht dargetan. 2.3  Soweit der Beschwerdeführer impliziert, die Einschätzung der Arbeitsfähigkeit sei unrichtig und es sei auf den Bericht des KSSG Rheumatologie vom 4. April 2016 (IV-act. 173-2 ff.) abzustellen, kann ihm nicht gefolgt werden. Der vom Beschwerdeführer zitierte BGE 135 V 465 behandelt die Konstellation, dass einer versicherungsinternen Einschätzung die Beurteilung der behandelnden Ärzte entgegengesetzt wird und jene als einziges Beweismittel angenommen werden soll. Vorliegend besteht jedoch ein versicherungsexternes Gutachten. Ein den Beweisanforderungen genügendes Gutachten, das im Verwaltungsverfahren eingeholt wurde, wird wegen einer unterschiedlichen Beurteilung der behandelnden Ärzte nicht in Frage gestellt, es sei denn, es würden objektiv feststellbare Gesichtspunkte vorgebracht, die im Rahmen der Begutachtung unerkannt geblieben waren und die geeignet sind, zu einer anderen Beurteilung zu führen (Urteile des Bundesgerichtes vom 17. Februar 2016, 9C_668/2015, E. 3 mit Hinweisen, vom 29. Juli 2008, 9C_830/2007, E. 4.3 mit Hinweisen; vom 29. August 2008, 9C_585/2008, E. 3). Das ist vorliegend nicht der Fall. Der KSSG-Bericht wurde von Ärzten erstellt, die als behandelnde Ärzte anzuschauen sind, auch wenn das Vertrauensverhältnis möglicherweise nicht so tief greift wie jenes zum Hausarzt und das Auftragsverhältnis indirekt, nämlich über die Anstellung der Ärzte beim beauftragten Spital, ausgestaltet ist (vgl. auch Urteil des Bundesgerichts vom 27. September 2017, 8C_295/2017, E. 6.4.2 mit Hinweisen). Der Bericht beruht nicht auf einer umfassenden Würdigung der Vorakten. Die Arbeitsunfähigkeit wird nicht detailliert begründet. Vielmehr ist die Rede davon, dass es "für eine ernsthafte und ausführliche Beurteilung" einer Evaluation der funktionellen Leistungsfähigkeit (EFL) bedürfe. Ausserdem werden Physiotherapie und MTT zur muskulären Stabilisierung empfohlen, ohne dass dargetan wird, ob die Arbeitsfähigkeit dadurch verbessert werden könnte. Eine Auseinandersetzung mit den einzelnen Diagnosen sowie deren Einschränkungen auf den Tätigkeitsbereich des Beschwerdeführers fehlt. Nachdem keine neuen Diagnosen oder andere objektiv feststellbare Gesichtspunkte vorgebracht werden, die im Rahmen der Begutachtung unerkannt geblieben waren, ist mit der Beschwerdegegnerin davon auszugehen, dass im KSSG-Bericht lediglich eine andere Beurteilung über den im Wesentlichen gleichen medizinischen Sachverhalt dargelegt wird. 2.4  Mit dem RAD (Stellungnahme vom 27. April 2015, IV-act. 153) ist daher auf das Gutachten vom 19. April 2015 abzustellen und von einer Arbeitsfähigkeit des Beschwerdeführers im Umfang von 75% in adaptierter Tätigkeit auszugehen.</w:t>
      </w:r>
    </w:p>
    <w:p>
      <w:r>
        <w:rPr>
          <w:b/>
        </w:rPr>
        <w:t>E. 3</w:t>
      </w:r>
    </w:p>
    <w:p>
      <w:r>
        <w:t>3.1  Der Beschwerdeführer macht geltend, seine Restarbeitsfähigkeit sei auf dem Arbeitsmarkt nicht mehr verwertbar. Fehlt es an einer wirtschaftlich verwertbaren Resterwerbsfähigkeit, liegt eine vollständige Erwerbsunfähigkeit vor, die einen Anspruch auf eine ganze Invalidenrente begründet (BGE 138 V 460 E. 3.1 mit Hinweisen). 3.2  Referenzpunkt für die Verwertung der Restarbeitsfähigkeit ist der hypothetisch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 320 f. E. 3b).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Der ausgeglichene Arbeitsmarkt umfasst auch sogenannte Nischenarbeitsplätze, also Stellen- und Arbeitsangebote, bei welchen Behinderte mit einem sozialen Entgegenkommen von Seiten des Arbeitgebers rechnen können.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Mit Blick auf die Massgeblichkeit des theoretisch ausgeglichenen Arbeitsmarktes ist eine Unverwertbarkeit der Restarbeitsfähigkeit nicht leichthin anzunehmen (Urteil des Bundesgerichts vom 28. November 2014, 9C_485/2014, E. 2 und E. 3.3.1 mit Hinweisen). 3.3  Der Beschwerdeführer ist gemäss Gutachten in einem vollen Arbeitspensum zu 75% leistungsfähig. In quantitativer Hinsicht ist er somit nicht gravierend eingeschränkt. In qualitativer Hinsicht kann er keine Lasten über 5 kg heben oder tragen und keine Zwangspositionen der Wirbelsäule, insbesondere im Sinne der Inklination und der Rotation, einnehmen. Auch Überkopfarbeiten sind zu vermeiden. Die adaptierte Tätigkeit muss klar strukturiert, in ruhiger und emotional spannungsarmer Atmosphäre ohne permanenten Zeit- und Termindruck, hohen Publikumsverkehr, Verantwortungsübernahme für Personen oder hohe Anforderungen an die Anpassungs- und Umstellungsfähigkeit ausgestaltet sein. Konkret zumutbar wären ihm also etwa einfache Kontroll-, Überwachungs-, Sortier-, Recycling-, (De-)Montage- sowie Maschinenbedienungsarbeiten auf dem Niveau Hilfsarbeiter (vgl. Urteil des Bundesgerichts vom 19. November 2015, 8C_695/2015, E. 4.2 mit Hinweisen). Positiv auf die Verwertbarkeit der Restarbeitsfähigkeit auswirken dürften sich die offenbar vorhandenen Computerkenntnisse des Beschwerdeführers (vgl. IV-act. 68-2, Zertifikat über einen EDV-PC Grundkurs, den der Beschwerdeführer 1998 besuchte; IV-act. 71-1, wonach der Beschwerdeführer 2001 eine Internetversandfirma aufbauen wollte: IV-act. 54-17, wonach der Beschwerdeführer sich tagsüber am Computer beschäftige und IV-act. 152-36, wonach er regelmässig das Strategiespiel "Age of Empires III" am schwierigsten Level spiele). Invaliditätsfremde Faktoren, insbesondere die lange Abwesenheit vom Arbeitsmarkt, sind bei der Beurteilung der Verwertbarkeit der Restarbeitsfähigkeit nicht zu berücksichtigen. Das Finden einer zumutbaren Stelle erscheint nach dem Gesagten nicht zum Vornherein als ausgeschlossen, sodass die Restarbeitsfähigkeit des Beschwerdeführers grundsätzlich verwertbar ist.</w:t>
      </w:r>
    </w:p>
    <w:p>
      <w:r>
        <w:rPr>
          <w:b/>
        </w:rPr>
        <w:t>E. 4</w:t>
      </w:r>
    </w:p>
    <w:p>
      <w:r>
        <w:t>4.1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gesund geblieben wäre (Valideneinkommen; Art. 28a Abs. 1 IVG i.V.m.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4.1 f. mit Hinweisen). 4.2  Vorliegend hat sich der Beschwerdeführer am 4. Mai 2012 erneut zum Bezug von IV-Leistungen angemeldet. Der Rentenanspruch entsteht frühestens nach Ablauf von sechs Monaten nach Geltendmachung (vgl. Art. 29 Abs. 1 IVG). Anspruch auf eine Rente haben Versicherte, die während eines Jahres ohne wesentlichen Unterbruch durchschnittlich mindestens 40% arbeitsunfähig gewesen sind. Dieses Wartejahr gemäss Art. 28 Abs. 1 lit. b IVG war zum Zeitpunkt der Anmeldung bereits abgelaufen, wurde doch bereits im MEDAS-Gutachten aus dem Jahr 2000 festgehalten, dass der Beschwerdeführer für schwere körperliche Tätigkeiten zu 50% arbeitsunfähig sei (IV-act. 54-6). Ein allfälliger Rentenanspruch besteht somit ab 1. November 2012.</w:t>
      </w:r>
    </w:p>
    <w:p>
      <w:r>
        <w:rPr>
          <w:b/>
        </w:rPr>
        <w:t>E. 5</w:t>
      </w:r>
    </w:p>
    <w:p>
      <w:r>
        <w:t>5.1  Für die Ermittlung des Valideneinkommens ist entscheidend, was die versicherte Person im Zeitpunkt des frühestmöglichen Rentenbeginns nach dem Beweisgrad der überwiegenden Wahrscheinlichkeit als Gesunde tatsächlich verdient hätte. Nicht zu beachten ist, was sie bestenfalls hätte verdienen können. In der Regel wird am zuletzt erzielten, nötigenfalls der Teuerung und der realen Einkommensentwicklung angepassten Verdienst angeknüpft, da es empirischer Erfahrung entspricht, dass die bisherige Tätigkeit ohne Gesundheitsschaden fortgesetzt worden wäre (MEYER/REICHMUTH, Rechtsprechung des Bundesgerichts zum IVG, 3. Aufl., Zürich/Basel/Genf 2014, Art. 28a N 49; BGE 129 V 222 E. 4.3.1 und BGE 131 V 51 E. 5.1.2). 5.2  Berufliche Weiterentwicklungen, die ein Versicherter normalerweise vollzogen hätte, sind bei der Festsetzung des Valideneinkommens zu berücksichtigen, sofern ein hypothetischer beruflicher Aufstieg sehr wahrscheinlich erscheint. Rein theoretische Aufstiegsmöglichkeiten sind unbeachtlich. Es müssen konkrete Anhaltspunkte dafür bestehen, dass der Versicherte einen beruflichen Aufstieg und ein entsprechend höheres Einkommen tatsächlich realisiert hätte, z.B. Kursbesuche oder die Aufnahme eines Studiums (UELI KIESER, a.a.O., Art. 16 N 34; MEYER/REICHMUTH, a.a.O., Art. 28a N. 63 f.). 5.3  Der Beschwerdeführer hat seit dem Unfall im Jahr 1995 nie über längere Zeit regelmässig gearbeitet. Zur Ermittlung des Valideneinkommens können daher nur die Löhne vor 1995 in Betracht fallen. Die Beschwerdegegnerin hat die Jahreseinkommen gemäss Auszug aus dem individuellen Konto (IK-Auszug; IV-act. 116) zwischen 1985 und 1994 in der Beschwerdeantwort (act. G4) übersichtlich aufgelistet. Aus dem IK-Auszug und dieser Auflistung geht hervor, dass der Beschwerdeführer während zehn Jahren jeweils nur relativ kurz bei einem Arbeitgeber angestellt war, mehrfach arbeitslos war und nur ein tiefes, stark schwankendes Einkommen erzielte. Wird das Jahr 1994 zugunsten des Beschwerdeführers ausser Acht gelassen, verdiente der Beschwerdeführer durchschnittlich Fr. 21'892.--. Der Median des Brutto-Jahreseinkommen für angestellte Männer zwischen 15 und 39 Jahren ohne Vorgesetztenfunktion betrug im Jahr 1994 Fr. 58'500.-- (Bundesamt für Statistik, Statistisches Jahrbuch der Schweiz 1996, S. 113, Tabelle T 3.15). Der Beschwerdeführer erzielte demnach 37% des Tabellenlohneinkommens und hatte somit einen markant unterdurchschnittlichen Verdienst. Anhaltspunkte dafür, dass der Beschwerdeführer sich aus freien Stücken mit einem unterdurchschnittlichen Lohn begnügt hatte, sind nicht ersichtlich. Da das Valideneinkommen vor 1995 deshalb nicht herangezogen werden kann, ist auf die Tabellenlöhne gemäss LSE abzustellen. 5.4  Der Beschwerdeführer beantragt, für das Valideneinkommen auf das Kompetenzniveau 2 abzustellen, da er seine Berufslehre 1982 erfolgreich abgeschlossen und danach verschiedene Tätigkeiten im Baugewerbe ausgeübt habe. Er hat indes nach seiner Lehre während über zehn Jahren nicht in der angestammten Tätigkeit gearbeitet. Insbesondere war er nicht mehr im öffentlichen Sektor tätig. Er hat zudem bis 1995 keinerlei Aus- oder Weiterbildungen besucht. Das Wissen, das er sich durch praktische Tätigkeiten angeeignet hat, ersetzt eine Fachausbildung nicht. Er konnte seine Arbeitskraft denn auch nur unterdurchschnittlich verwerten und wurde im Bau wohl als blosser Hilfsarbeiter eingesetzt. Angesichts dessen kann ein beruflicher Aufstieg nicht als sehr wahrscheinlich angesehen werden. 5.5  Nach dem Gesagten ist bei der Bestimmung des Valideneinkommens auf die Tabelle TA1 der Schweizerischen Lohnstrukturerhebung (LSE) des Bundesamtes für Statistik, Total sämtliche Wirtschaftszweige, Kompetenzniveau 1, Männer, abzustellen.</w:t>
      </w:r>
    </w:p>
    <w:p>
      <w:r>
        <w:rPr>
          <w:b/>
        </w:rPr>
        <w:t>E. 6</w:t>
      </w:r>
    </w:p>
    <w:p>
      <w:r>
        <w:t>6.1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LSE beigezogen werden (BGE 139 V 592 E. 2.3). 6.2  Da die beiden Vergleichseinkommen somit auf derselben Grundlage zu berechnen sind, kann ein Prozentvergleich vorgenommen werden. 6.3  Zu klären ist damit noch die Frage der Höhe des Tabellenlohnabzugs bei der Bestimmung des Invalideneinkommens.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In BGE 126 V 75 ff. hat das Bundesgericht festgestellt, dass es von sämtlichen persönlichen und beruflichen Umständen des konkreten Einzelfalls (leidensbedingte Einschränkung, Alter, Dienstjahre, Nationalität, Aufenthaltskategorie und Beschäftigungsgrad) abhängt,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d.h. dass nicht für jedes Merkmal der entsprechende Abzug zu quantifizieren und die einzelnen Abzüge zusammenzuzählen sind. Der Abzug ist auf höchstens 25% begrenzt (Urteil des Bundesgerichts vom 20. April 2018, 9C_833/2017, E. 2.2; BGE 134 V 327 E. 5.2). 6.4  Der Beschwerdeführer hat während seiner beruflichen Tätigkeit meist schwere Arbeiten ausgeführt. Dies ist ihm nun nicht mehr möglich. Er kann gemäss RAD-Stellungnahme vom 27. April 2015 nur noch körperlich sehr leichte Tätigkeiten übernehmen (vgl. IV-act. 153). In diesem Bereich verfügt er über keine nennenswerte Berufserfahrung. Die Tabellenlöhne setzen sich aus dem Median für körperlich schwere, mittlere und leichte Tätigkeiten zusammen, wobei körperlich schwere Hilfsarbeitertätigkeiten im Baubereich besser entlohnt werden als leichte. Der Beschwerdeführer ist nun auch für leichte Tätigkeiten erheblich eingeschränkt und darauf angewiesen, seine Arbeitsposition jeweils wechseln zu können. Das Spektrum an Verweistätigkeiten für ihn ist wegen der Kombination von körperlichen und psychischen Leiden zusätzlich eingeschränkt. Die Rechtsprechung gewährt insbesondere dann einen Abzug auf dem Invalideneinkommen, wenn eine versicherte Person selbst im Rahmen körperlich leichter Hilfsarbeitertätigkeit in ihrer Leistungsfähigkeit eingeschränkt ist (vgl. Urteil des Bundesgerichts vom 23. Dezember 2014, 9C_630/2014, E 2.1). Aufgrund der kombinierten Persönlichkeitsstörung ist der Beschwerdeführer in seiner Flexibilität und Anpassungsfähigkeit wie auch im zwischenmenschlichen Umgang deutlich eingeschränkt und leicht kränkbar. Es fällt ihm schwer, eine stabile Leistung über einen längeren Zeitraum aufrechtzuerhalten (vgl. IV-act. 152-39). Es fällt denn auch auf, dass der Beschwerdeführer bereits vor dem Unfall von 1995 keine Arbeitsstelle über längere Zeit halten konnte (vgl. IV-act. 152-19; IV-act. 116). Auf Schwierigkeiten ebenso wie auf Schmerzen reagiert der Beschwerdeführer mit Rückzug. Es ist deshalb zu erwarten, dass er immer wieder phasenweise arbeitsabwesend sein wird und ein erhöhtes Krankheitsrisiko hat, was einen Abzug vom Tabellenlohn erforderlich macht. Aus der Sicht eines ökonomisch denkenden Arbeitgebers senken diese Risiken, deren Verwirklichung die Gesamtlohnkosten des Betriebes erhöhen, den "Wert" des Beschwerdeführers als Arbeitnehmer erheblich. Um dies zu kompensieren und konkurrenzfähig zu bleiben, muss der Beschwerdeführer mit einem erheblich tieferen Einkommen rechnen als eine gesunde Person im Rahmen einer Hilfstätigkeit (vgl. Urteil des Bundesgerichts vom 9. Dezember 2009, 9C_68/2009, E. 3.3). Mit Blick auf die bereits im Gutachten berücksichtigten Aspekte und in Würdigung der erwähnten Umstände sowie der gesamten Erwerbsbiographie erscheint vorliegend daher ein Tabellenlohnabzug von 20% als angemessen. 6.5  Somit ergibt sich ein IV-Grad von 40% (100% - 75% x 0.8).</w:t>
      </w:r>
    </w:p>
    <w:p>
      <w:r>
        <w:rPr>
          <w:b/>
        </w:rPr>
        <w:t>E. 7</w:t>
      </w:r>
    </w:p>
    <w:p>
      <w:r>
        <w:t>7.1  Nach dem Gesagten ist in teilweiser Gutheissung der Beschwerde die Verfügung vom 19. Mai 2016 aufzuheben und dem Beschwerdeführer mit Wirkung ab 1. November 2012 eine Viertelsrente zuzusprechen. Zur Festsetzung der Rentenhöhe ist die Sache an die Beschwerdegegnerin zurückzuweisen. 7.2  Das Beschwerdeverfahren ist kostenpflichtig. Die Kosten werden nach dem Verfahrensaufwand und unabhängig vom Streitwert im Rahmen von Fr. 200.-- bis Fr. 1'000.-- festgelegt (Art. 69 Abs. 1bis IVG). Eine Gerichtsgebühr von Fr. 600.-- erscheint in der vorliegend zu beurteilenden Angelegenheit angemessen. Dem Ausgang des Verfahrens entsprechend ist sie der Beschwerdegegnerin aufzuerlegen. 7.3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pauschal Fr. 1'000.-- bis Fr. 12'000.--. Die Rechtsvertreterin der Beschwerdeführerin hat keine Kostennote eingereicht. Im vorliegenden Fall erscheint eine durchschnittliche pauschale Parteientschädigung von Fr. 3'500.-- als angemessen. Entscheid im Zirkulationsverfahren gemäss Art. 39 VRP 1. In teilweiser Gutheissung der Beschwerde wird die Verfügung vom 19. Mai 2016 aufgehoben und dem Beschwerdeführer mit Wirkung ab 1. November 2012 eine Viertelsrente zugesprochen. Zur Festsetzung der Rentenhöhe wird die Sache an die Beschwerdegegnerin zurückgewiesen. 2. Die Beschwerdegegnerin hat die Gerichtskosten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